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2494"/>
        <w:gridCol w:w="4585"/>
        <w:gridCol w:w="2549"/>
      </w:tblGrid>
      <w:tr w:rsidR="005E5D3A" w:rsidRPr="00965FE8" w14:paraId="2BB12D51" w14:textId="77777777" w:rsidTr="00B7233A">
        <w:tc>
          <w:tcPr>
            <w:tcW w:w="2518" w:type="dxa"/>
          </w:tcPr>
          <w:p w14:paraId="3FD5D5FE" w14:textId="77777777" w:rsidR="005E5D3A" w:rsidRPr="00965FE8" w:rsidRDefault="005E5D3A" w:rsidP="00B7233A">
            <w:pPr>
              <w:spacing w:after="390"/>
              <w:rPr>
                <w:rFonts w:ascii="Times New Roman" w:eastAsia="Times New Roman" w:hAnsi="Times New Roman" w:cs="Times New Roman"/>
                <w:color w:val="333333"/>
                <w:lang w:eastAsia="it-IT"/>
              </w:rPr>
            </w:pPr>
            <w:r w:rsidRPr="00965FE8">
              <w:rPr>
                <w:rFonts w:ascii="Times New Roman" w:eastAsia="Times New Roman" w:hAnsi="Times New Roman" w:cs="Times New Roman"/>
                <w:color w:val="333333"/>
                <w:lang w:eastAsia="it-IT"/>
              </w:rPr>
              <w:t>CHI</w:t>
            </w:r>
          </w:p>
        </w:tc>
        <w:tc>
          <w:tcPr>
            <w:tcW w:w="4678" w:type="dxa"/>
          </w:tcPr>
          <w:p w14:paraId="097F4B57" w14:textId="77777777" w:rsidR="005E5D3A" w:rsidRPr="00965FE8" w:rsidRDefault="005E5D3A" w:rsidP="00B7233A">
            <w:pPr>
              <w:spacing w:after="390"/>
              <w:rPr>
                <w:rFonts w:ascii="Times New Roman" w:eastAsia="Times New Roman" w:hAnsi="Times New Roman" w:cs="Times New Roman"/>
                <w:color w:val="333333"/>
                <w:lang w:eastAsia="it-IT"/>
              </w:rPr>
            </w:pPr>
            <w:r w:rsidRPr="00965FE8">
              <w:rPr>
                <w:rFonts w:ascii="Times New Roman" w:eastAsia="Times New Roman" w:hAnsi="Times New Roman" w:cs="Times New Roman"/>
                <w:color w:val="333333"/>
                <w:lang w:eastAsia="it-IT"/>
              </w:rPr>
              <w:t>CHE COSA</w:t>
            </w:r>
          </w:p>
        </w:tc>
        <w:tc>
          <w:tcPr>
            <w:tcW w:w="2582" w:type="dxa"/>
          </w:tcPr>
          <w:p w14:paraId="737A08D1" w14:textId="77777777" w:rsidR="005E5D3A" w:rsidRPr="00965FE8" w:rsidRDefault="005E5D3A" w:rsidP="00B7233A">
            <w:pPr>
              <w:spacing w:after="390"/>
              <w:rPr>
                <w:rFonts w:ascii="Times New Roman" w:eastAsia="Times New Roman" w:hAnsi="Times New Roman" w:cs="Times New Roman"/>
                <w:color w:val="333333"/>
                <w:lang w:eastAsia="it-IT"/>
              </w:rPr>
            </w:pPr>
            <w:r w:rsidRPr="00965FE8">
              <w:rPr>
                <w:rFonts w:ascii="Times New Roman" w:eastAsia="Times New Roman" w:hAnsi="Times New Roman" w:cs="Times New Roman"/>
                <w:color w:val="333333"/>
                <w:lang w:eastAsia="it-IT"/>
              </w:rPr>
              <w:t>QUANDO</w:t>
            </w:r>
          </w:p>
        </w:tc>
      </w:tr>
      <w:tr w:rsidR="005E5D3A" w:rsidRPr="00965FE8" w14:paraId="19982E8B" w14:textId="77777777" w:rsidTr="00B7233A">
        <w:tc>
          <w:tcPr>
            <w:tcW w:w="2518" w:type="dxa"/>
          </w:tcPr>
          <w:p w14:paraId="47244BC6" w14:textId="77777777" w:rsidR="005E5D3A" w:rsidRPr="005B2020" w:rsidRDefault="005E5D3A" w:rsidP="00B7233A">
            <w:pPr>
              <w:spacing w:after="390"/>
              <w:rPr>
                <w:rFonts w:ascii="Times New Roman" w:hAnsi="Times New Roman" w:cs="Times New Roman"/>
                <w:b/>
                <w:color w:val="333333"/>
              </w:rPr>
            </w:pPr>
            <w:r w:rsidRPr="00965FE8">
              <w:rPr>
                <w:rFonts w:ascii="Times New Roman" w:hAnsi="Times New Roman" w:cs="Times New Roman"/>
                <w:b/>
                <w:color w:val="333333"/>
              </w:rPr>
              <w:t>DIRIGENTI SCOLASTICI, DOCENTI, FORZE DELL’ORDINE</w:t>
            </w:r>
          </w:p>
        </w:tc>
        <w:tc>
          <w:tcPr>
            <w:tcW w:w="4678" w:type="dxa"/>
          </w:tcPr>
          <w:p w14:paraId="567BD27B" w14:textId="77777777" w:rsidR="005E5D3A" w:rsidRPr="00965FE8" w:rsidRDefault="005E5D3A" w:rsidP="00B7233A">
            <w:pPr>
              <w:pStyle w:val="NormaleWeb"/>
              <w:shd w:val="clear" w:color="auto" w:fill="FFFFFF"/>
              <w:spacing w:before="0" w:beforeAutospacing="0" w:after="0" w:afterAutospacing="0"/>
              <w:textAlignment w:val="baseline"/>
              <w:rPr>
                <w:color w:val="333333"/>
                <w:sz w:val="22"/>
                <w:szCs w:val="22"/>
              </w:rPr>
            </w:pPr>
            <w:proofErr w:type="gramStart"/>
            <w:r>
              <w:rPr>
                <w:rStyle w:val="Enfasigrassetto"/>
                <w:u w:val="single"/>
                <w:bdr w:val="none" w:sz="0" w:space="0" w:color="auto" w:frame="1"/>
              </w:rPr>
              <w:t xml:space="preserve">Coinvolgimento </w:t>
            </w:r>
            <w:r w:rsidRPr="00965FE8">
              <w:rPr>
                <w:color w:val="333333"/>
                <w:sz w:val="22"/>
                <w:szCs w:val="22"/>
              </w:rPr>
              <w:t xml:space="preserve"> delle</w:t>
            </w:r>
            <w:proofErr w:type="gramEnd"/>
            <w:r w:rsidRPr="00965FE8">
              <w:rPr>
                <w:color w:val="333333"/>
                <w:sz w:val="22"/>
                <w:szCs w:val="22"/>
              </w:rPr>
              <w:t xml:space="preserve"> famiglie e del  mondo della scuola </w:t>
            </w:r>
          </w:p>
        </w:tc>
        <w:tc>
          <w:tcPr>
            <w:tcW w:w="2582" w:type="dxa"/>
          </w:tcPr>
          <w:p w14:paraId="67469392" w14:textId="77777777" w:rsidR="005E5D3A" w:rsidRPr="00965FE8" w:rsidRDefault="005E5D3A" w:rsidP="00B7233A">
            <w:pPr>
              <w:spacing w:after="390"/>
              <w:rPr>
                <w:rFonts w:ascii="Times New Roman" w:eastAsia="Times New Roman" w:hAnsi="Times New Roman" w:cs="Times New Roman"/>
                <w:color w:val="333333"/>
                <w:lang w:eastAsia="it-IT"/>
              </w:rPr>
            </w:pPr>
          </w:p>
        </w:tc>
      </w:tr>
      <w:tr w:rsidR="005E5D3A" w:rsidRPr="00965FE8" w14:paraId="0FA724A7" w14:textId="77777777" w:rsidTr="00B7233A">
        <w:tc>
          <w:tcPr>
            <w:tcW w:w="2518" w:type="dxa"/>
          </w:tcPr>
          <w:p w14:paraId="7E3E508D" w14:textId="77777777" w:rsidR="005E5D3A" w:rsidRPr="00965FE8" w:rsidRDefault="005E5D3A" w:rsidP="00B7233A">
            <w:pPr>
              <w:spacing w:after="390"/>
              <w:rPr>
                <w:rFonts w:ascii="Times New Roman" w:hAnsi="Times New Roman" w:cs="Times New Roman"/>
                <w:b/>
                <w:color w:val="333333"/>
              </w:rPr>
            </w:pPr>
            <w:r>
              <w:rPr>
                <w:rFonts w:ascii="Times New Roman" w:hAnsi="Times New Roman" w:cs="Times New Roman"/>
                <w:b/>
                <w:color w:val="333333"/>
              </w:rPr>
              <w:t xml:space="preserve">Dirigenti/ referenti delle scuole </w:t>
            </w:r>
          </w:p>
        </w:tc>
        <w:tc>
          <w:tcPr>
            <w:tcW w:w="4678" w:type="dxa"/>
          </w:tcPr>
          <w:p w14:paraId="37A52B0F" w14:textId="77777777" w:rsidR="005E5D3A" w:rsidRPr="00965FE8" w:rsidRDefault="005E5D3A" w:rsidP="00B7233A">
            <w:pPr>
              <w:pStyle w:val="NormaleWeb"/>
              <w:shd w:val="clear" w:color="auto" w:fill="FFFFFF"/>
              <w:spacing w:before="0" w:beforeAutospacing="0" w:after="0" w:afterAutospacing="0"/>
              <w:textAlignment w:val="baseline"/>
              <w:rPr>
                <w:rStyle w:val="Enfasigrassetto"/>
                <w:color w:val="FF0000"/>
                <w:spacing w:val="3"/>
                <w:sz w:val="22"/>
                <w:szCs w:val="22"/>
                <w:u w:val="single"/>
                <w:bdr w:val="none" w:sz="0" w:space="0" w:color="auto" w:frame="1"/>
              </w:rPr>
            </w:pPr>
          </w:p>
          <w:p w14:paraId="56719F69" w14:textId="77777777" w:rsidR="005E5D3A" w:rsidRPr="00965FE8" w:rsidRDefault="005E5D3A" w:rsidP="00B7233A">
            <w:pPr>
              <w:rPr>
                <w:rFonts w:ascii="Times New Roman" w:eastAsia="Times New Roman" w:hAnsi="Times New Roman" w:cs="Times New Roman"/>
                <w:color w:val="FF0000"/>
                <w:spacing w:val="3"/>
                <w:lang w:eastAsia="it-IT"/>
              </w:rPr>
            </w:pPr>
            <w:r>
              <w:rPr>
                <w:rFonts w:ascii="Times New Roman" w:eastAsia="Times New Roman" w:hAnsi="Times New Roman" w:cs="Times New Roman"/>
                <w:color w:val="FF0000"/>
                <w:spacing w:val="3"/>
                <w:lang w:eastAsia="it-IT"/>
              </w:rPr>
              <w:t>Diffusione dell</w:t>
            </w:r>
            <w:r w:rsidRPr="00965FE8">
              <w:rPr>
                <w:rFonts w:ascii="Times New Roman" w:eastAsia="Times New Roman" w:hAnsi="Times New Roman" w:cs="Times New Roman"/>
                <w:color w:val="FF0000"/>
                <w:spacing w:val="3"/>
                <w:lang w:eastAsia="it-IT"/>
              </w:rPr>
              <w:t xml:space="preserve">’app sviluppata e messa a disposizione dalla Polizia di Stato permette agli studenti di </w:t>
            </w:r>
            <w:proofErr w:type="spellStart"/>
            <w:r w:rsidRPr="00965FE8">
              <w:rPr>
                <w:rFonts w:ascii="Times New Roman" w:eastAsia="Times New Roman" w:hAnsi="Times New Roman" w:cs="Times New Roman"/>
                <w:color w:val="FF0000"/>
                <w:spacing w:val="3"/>
                <w:lang w:eastAsia="it-IT"/>
              </w:rPr>
              <w:t>denunciareCon</w:t>
            </w:r>
            <w:proofErr w:type="spellEnd"/>
            <w:r w:rsidRPr="00965FE8">
              <w:rPr>
                <w:rFonts w:ascii="Times New Roman" w:eastAsia="Times New Roman" w:hAnsi="Times New Roman" w:cs="Times New Roman"/>
                <w:color w:val="FF0000"/>
                <w:spacing w:val="3"/>
                <w:lang w:eastAsia="it-IT"/>
              </w:rPr>
              <w:t xml:space="preserve"> </w:t>
            </w:r>
            <w:proofErr w:type="spellStart"/>
            <w:r w:rsidRPr="00965FE8">
              <w:rPr>
                <w:rFonts w:ascii="Times New Roman" w:eastAsia="Times New Roman" w:hAnsi="Times New Roman" w:cs="Times New Roman"/>
                <w:color w:val="FF0000"/>
                <w:spacing w:val="3"/>
                <w:lang w:eastAsia="it-IT"/>
              </w:rPr>
              <w:t>YouPol</w:t>
            </w:r>
            <w:proofErr w:type="spellEnd"/>
            <w:r w:rsidRPr="00965FE8">
              <w:rPr>
                <w:rFonts w:ascii="Times New Roman" w:eastAsia="Times New Roman" w:hAnsi="Times New Roman" w:cs="Times New Roman"/>
                <w:color w:val="FF0000"/>
                <w:spacing w:val="3"/>
                <w:lang w:eastAsia="it-IT"/>
              </w:rPr>
              <w:t xml:space="preserve"> puoi denunciare bullismo e spaccio di droga a scuola</w:t>
            </w:r>
          </w:p>
          <w:p w14:paraId="5FFD6B7D" w14:textId="77777777" w:rsidR="005E5D3A" w:rsidRDefault="005E5D3A" w:rsidP="00B7233A">
            <w:pPr>
              <w:rPr>
                <w:rFonts w:ascii="Times New Roman" w:eastAsia="Times New Roman" w:hAnsi="Times New Roman" w:cs="Times New Roman"/>
                <w:color w:val="FF0000"/>
                <w:spacing w:val="3"/>
                <w:lang w:eastAsia="it-IT"/>
              </w:rPr>
            </w:pPr>
            <w:r w:rsidRPr="00965FE8">
              <w:rPr>
                <w:rFonts w:ascii="Times New Roman" w:eastAsia="Times New Roman" w:hAnsi="Times New Roman" w:cs="Times New Roman"/>
                <w:color w:val="FF0000"/>
                <w:spacing w:val="3"/>
                <w:lang w:eastAsia="it-IT"/>
              </w:rPr>
              <w:t>L’app permette agli studenti di denunciare i reati che avvengono tra le mura scolastiche, dal bullismo allo spaccio di droga.</w:t>
            </w:r>
          </w:p>
          <w:p w14:paraId="18118D47" w14:textId="77777777" w:rsidR="005E5D3A" w:rsidRPr="00965FE8" w:rsidRDefault="005E5D3A" w:rsidP="00B7233A">
            <w:pPr>
              <w:rPr>
                <w:rFonts w:ascii="Times New Roman" w:eastAsia="Times New Roman" w:hAnsi="Times New Roman" w:cs="Times New Roman"/>
                <w:color w:val="FF0000"/>
                <w:spacing w:val="3"/>
                <w:lang w:eastAsia="it-IT"/>
              </w:rPr>
            </w:pPr>
            <w:r w:rsidRPr="00965FE8">
              <w:rPr>
                <w:rFonts w:ascii="Times New Roman" w:eastAsia="Times New Roman" w:hAnsi="Times New Roman" w:cs="Times New Roman"/>
                <w:color w:val="FF0000"/>
                <w:spacing w:val="3"/>
                <w:lang w:eastAsia="it-IT"/>
              </w:rPr>
              <w:t>si scarica gratuitamente su iOS e Android e si può usare in forma anonima.</w:t>
            </w:r>
          </w:p>
          <w:p w14:paraId="7465A1B9" w14:textId="77777777" w:rsidR="005E5D3A" w:rsidRPr="00965FE8" w:rsidRDefault="005E5D3A" w:rsidP="00B7233A">
            <w:pPr>
              <w:pStyle w:val="NormaleWeb"/>
              <w:shd w:val="clear" w:color="auto" w:fill="FFFFFF"/>
              <w:spacing w:before="0" w:beforeAutospacing="0" w:after="0" w:afterAutospacing="0"/>
              <w:textAlignment w:val="baseline"/>
              <w:rPr>
                <w:rStyle w:val="Enfasigrassetto"/>
                <w:color w:val="333333"/>
                <w:sz w:val="22"/>
                <w:szCs w:val="22"/>
                <w:u w:val="single"/>
                <w:bdr w:val="none" w:sz="0" w:space="0" w:color="auto" w:frame="1"/>
              </w:rPr>
            </w:pPr>
          </w:p>
        </w:tc>
        <w:tc>
          <w:tcPr>
            <w:tcW w:w="2582" w:type="dxa"/>
          </w:tcPr>
          <w:p w14:paraId="79FA3A9A" w14:textId="77777777" w:rsidR="005E5D3A" w:rsidRPr="00965FE8" w:rsidRDefault="005E5D3A" w:rsidP="00B7233A">
            <w:pPr>
              <w:spacing w:after="390"/>
              <w:rPr>
                <w:rFonts w:ascii="Times New Roman" w:eastAsia="Times New Roman" w:hAnsi="Times New Roman" w:cs="Times New Roman"/>
                <w:color w:val="333333"/>
                <w:lang w:eastAsia="it-IT"/>
              </w:rPr>
            </w:pPr>
          </w:p>
        </w:tc>
      </w:tr>
      <w:tr w:rsidR="005E5D3A" w:rsidRPr="00965FE8" w14:paraId="7E474636" w14:textId="77777777" w:rsidTr="00B7233A">
        <w:tc>
          <w:tcPr>
            <w:tcW w:w="2518" w:type="dxa"/>
          </w:tcPr>
          <w:p w14:paraId="1A35D424" w14:textId="77777777" w:rsidR="005E5D3A" w:rsidRPr="00965FE8" w:rsidRDefault="005E5D3A" w:rsidP="00B7233A">
            <w:pPr>
              <w:spacing w:after="390"/>
              <w:rPr>
                <w:rFonts w:ascii="Times New Roman" w:hAnsi="Times New Roman" w:cs="Times New Roman"/>
                <w:b/>
                <w:color w:val="333333"/>
              </w:rPr>
            </w:pPr>
            <w:r w:rsidRPr="00965FE8">
              <w:rPr>
                <w:rFonts w:ascii="Times New Roman" w:hAnsi="Times New Roman" w:cs="Times New Roman"/>
                <w:b/>
                <w:color w:val="333333"/>
              </w:rPr>
              <w:t>DIRIGENTI SCOLASTICI, DOCENTI, FORZE DELL’ORDINE</w:t>
            </w:r>
          </w:p>
          <w:p w14:paraId="1E1828C5" w14:textId="77777777" w:rsidR="005E5D3A" w:rsidRPr="00965FE8" w:rsidRDefault="005E5D3A" w:rsidP="00B7233A">
            <w:pPr>
              <w:pStyle w:val="NormaleWeb"/>
              <w:shd w:val="clear" w:color="auto" w:fill="FFFFFF"/>
              <w:spacing w:before="0" w:beforeAutospacing="0" w:after="150" w:afterAutospacing="0"/>
              <w:textAlignment w:val="baseline"/>
              <w:rPr>
                <w:color w:val="333333"/>
                <w:sz w:val="22"/>
                <w:szCs w:val="22"/>
              </w:rPr>
            </w:pPr>
          </w:p>
          <w:p w14:paraId="1FE0D02E" w14:textId="77777777" w:rsidR="005E5D3A" w:rsidRDefault="005E5D3A" w:rsidP="00B7233A">
            <w:pPr>
              <w:spacing w:after="390"/>
              <w:rPr>
                <w:rFonts w:ascii="Times New Roman" w:hAnsi="Times New Roman" w:cs="Times New Roman"/>
                <w:b/>
                <w:color w:val="333333"/>
              </w:rPr>
            </w:pPr>
          </w:p>
        </w:tc>
        <w:tc>
          <w:tcPr>
            <w:tcW w:w="4678" w:type="dxa"/>
          </w:tcPr>
          <w:p w14:paraId="0E9F3A8C" w14:textId="77777777" w:rsidR="005E5D3A" w:rsidRPr="00965FE8" w:rsidRDefault="005E5D3A" w:rsidP="00B7233A">
            <w:pPr>
              <w:pStyle w:val="NormaleWeb"/>
              <w:shd w:val="clear" w:color="auto" w:fill="FFFFFF"/>
              <w:spacing w:before="0" w:beforeAutospacing="0" w:after="0" w:afterAutospacing="0"/>
              <w:textAlignment w:val="baseline"/>
              <w:rPr>
                <w:b/>
                <w:color w:val="333333"/>
                <w:sz w:val="22"/>
                <w:szCs w:val="22"/>
              </w:rPr>
            </w:pPr>
            <w:r w:rsidRPr="00965FE8">
              <w:rPr>
                <w:b/>
                <w:color w:val="333333"/>
                <w:sz w:val="22"/>
                <w:szCs w:val="22"/>
              </w:rPr>
              <w:t>organizzano incontri con gli studenti di tutte le età considerando che l’età del consumo di droga si è notevolmente abbassata illustrando ai giovani quali sono le conseguenze dell’uso di sostanze stupefacenti,  sia sulla salute che sulla vita nel senso ampio del termine che ricomprende anche la libertà di movimento, di non poter più guidare uno scooter o una autovettura quando si viene trovati in possesso di sostanze stupefacenti o quando si risulta positivi all’uso della cannabis</w:t>
            </w:r>
            <w:r w:rsidRPr="00965FE8">
              <w:rPr>
                <w:rStyle w:val="Enfasigrassetto"/>
                <w:b w:val="0"/>
                <w:color w:val="333333"/>
                <w:sz w:val="22"/>
                <w:szCs w:val="22"/>
                <w:u w:val="single"/>
                <w:bdr w:val="none" w:sz="0" w:space="0" w:color="auto" w:frame="1"/>
              </w:rPr>
              <w:t>, anche quella cosiddetta “legale</w:t>
            </w:r>
            <w:r w:rsidRPr="00965FE8">
              <w:rPr>
                <w:b/>
                <w:color w:val="333333"/>
                <w:sz w:val="22"/>
                <w:szCs w:val="22"/>
              </w:rPr>
              <w:t>”.</w:t>
            </w:r>
          </w:p>
          <w:p w14:paraId="0D95CB6E" w14:textId="77777777" w:rsidR="005E5D3A" w:rsidRPr="00965FE8" w:rsidRDefault="005E5D3A" w:rsidP="00B7233A">
            <w:pPr>
              <w:pStyle w:val="NormaleWeb"/>
              <w:shd w:val="clear" w:color="auto" w:fill="FFFFFF"/>
              <w:spacing w:before="0" w:beforeAutospacing="0" w:after="0" w:afterAutospacing="0"/>
              <w:textAlignment w:val="baseline"/>
              <w:rPr>
                <w:b/>
                <w:bCs/>
                <w:color w:val="FF0000"/>
                <w:spacing w:val="3"/>
                <w:sz w:val="22"/>
                <w:szCs w:val="22"/>
              </w:rPr>
            </w:pPr>
          </w:p>
        </w:tc>
        <w:tc>
          <w:tcPr>
            <w:tcW w:w="2582" w:type="dxa"/>
          </w:tcPr>
          <w:p w14:paraId="46A9E1C6" w14:textId="77777777" w:rsidR="005E5D3A" w:rsidRPr="00965FE8" w:rsidRDefault="005E5D3A" w:rsidP="00B7233A">
            <w:pPr>
              <w:spacing w:after="390"/>
              <w:rPr>
                <w:rFonts w:ascii="Times New Roman" w:eastAsia="Times New Roman" w:hAnsi="Times New Roman" w:cs="Times New Roman"/>
                <w:color w:val="333333"/>
                <w:lang w:eastAsia="it-IT"/>
              </w:rPr>
            </w:pPr>
            <w:r w:rsidRPr="00965FE8">
              <w:rPr>
                <w:rFonts w:ascii="Times New Roman" w:eastAsia="Times New Roman" w:hAnsi="Times New Roman" w:cs="Times New Roman"/>
                <w:color w:val="333333"/>
                <w:lang w:eastAsia="it-IT"/>
              </w:rPr>
              <w:t xml:space="preserve">NEL CORSO DELL’ANNO SCOLASTICO </w:t>
            </w:r>
          </w:p>
        </w:tc>
      </w:tr>
      <w:tr w:rsidR="005E5D3A" w:rsidRPr="00965FE8" w14:paraId="4865C781" w14:textId="77777777" w:rsidTr="00B7233A">
        <w:tc>
          <w:tcPr>
            <w:tcW w:w="2518" w:type="dxa"/>
          </w:tcPr>
          <w:p w14:paraId="0F5D8B4B" w14:textId="77777777" w:rsidR="005E5D3A" w:rsidRPr="00965FE8" w:rsidRDefault="005E5D3A" w:rsidP="00B7233A">
            <w:pPr>
              <w:spacing w:after="390"/>
              <w:rPr>
                <w:rFonts w:ascii="Times New Roman" w:eastAsia="Times New Roman" w:hAnsi="Times New Roman" w:cs="Times New Roman"/>
                <w:color w:val="333333"/>
                <w:lang w:eastAsia="it-IT"/>
              </w:rPr>
            </w:pPr>
            <w:r w:rsidRPr="00C755D4">
              <w:rPr>
                <w:rFonts w:ascii="Times New Roman" w:eastAsia="Times New Roman" w:hAnsi="Times New Roman" w:cs="Times New Roman"/>
                <w:color w:val="333333"/>
                <w:lang w:eastAsia="it-IT"/>
              </w:rPr>
              <w:t xml:space="preserve">USP DI MESSINA </w:t>
            </w:r>
          </w:p>
        </w:tc>
        <w:tc>
          <w:tcPr>
            <w:tcW w:w="4678" w:type="dxa"/>
          </w:tcPr>
          <w:p w14:paraId="12B57186" w14:textId="04F9BB7C" w:rsidR="005E5D3A" w:rsidRPr="00965FE8" w:rsidRDefault="005E5D3A" w:rsidP="00B7233A">
            <w:pPr>
              <w:spacing w:after="390"/>
              <w:rPr>
                <w:rFonts w:ascii="Times New Roman" w:eastAsia="Times New Roman" w:hAnsi="Times New Roman" w:cs="Times New Roman"/>
                <w:color w:val="333333"/>
                <w:lang w:eastAsia="it-IT"/>
              </w:rPr>
            </w:pPr>
            <w:r w:rsidRPr="00965FE8">
              <w:rPr>
                <w:rFonts w:ascii="Times New Roman" w:eastAsia="Times New Roman" w:hAnsi="Times New Roman" w:cs="Times New Roman"/>
                <w:color w:val="333333"/>
                <w:lang w:eastAsia="it-IT"/>
              </w:rPr>
              <w:t>Individuare all’interno dei singoli istituti scolastici figure educative di riferimento, con cui studenti e genitori possano direttamente interloquire in merito alle pro</w:t>
            </w:r>
            <w:r>
              <w:rPr>
                <w:rFonts w:ascii="Times New Roman" w:eastAsia="Times New Roman" w:hAnsi="Times New Roman" w:cs="Times New Roman"/>
                <w:color w:val="333333"/>
                <w:lang w:eastAsia="it-IT"/>
              </w:rPr>
              <w:t>b</w:t>
            </w:r>
            <w:r w:rsidRPr="00965FE8">
              <w:rPr>
                <w:rFonts w:ascii="Times New Roman" w:eastAsia="Times New Roman" w:hAnsi="Times New Roman" w:cs="Times New Roman"/>
                <w:color w:val="333333"/>
                <w:lang w:eastAsia="it-IT"/>
              </w:rPr>
              <w:t>lematiche in oggetto</w:t>
            </w:r>
          </w:p>
        </w:tc>
        <w:tc>
          <w:tcPr>
            <w:tcW w:w="2582" w:type="dxa"/>
          </w:tcPr>
          <w:p w14:paraId="55D0DAC6" w14:textId="77777777" w:rsidR="005E5D3A" w:rsidRPr="00965FE8" w:rsidRDefault="005E5D3A" w:rsidP="00B7233A">
            <w:pPr>
              <w:spacing w:after="390"/>
              <w:rPr>
                <w:rFonts w:ascii="Times New Roman" w:eastAsia="Times New Roman" w:hAnsi="Times New Roman" w:cs="Times New Roman"/>
                <w:color w:val="333333"/>
                <w:lang w:eastAsia="it-IT"/>
              </w:rPr>
            </w:pPr>
          </w:p>
        </w:tc>
      </w:tr>
      <w:tr w:rsidR="005E5D3A" w:rsidRPr="00965FE8" w14:paraId="6B604504" w14:textId="77777777" w:rsidTr="00B7233A">
        <w:tc>
          <w:tcPr>
            <w:tcW w:w="2518" w:type="dxa"/>
          </w:tcPr>
          <w:p w14:paraId="2EB1BB70" w14:textId="77777777" w:rsidR="005E5D3A" w:rsidRDefault="005E5D3A" w:rsidP="00B7233A">
            <w:pPr>
              <w:spacing w:after="390"/>
              <w:rPr>
                <w:rFonts w:ascii="Times New Roman" w:eastAsia="Times New Roman" w:hAnsi="Times New Roman" w:cs="Times New Roman"/>
                <w:color w:val="333333"/>
                <w:lang w:eastAsia="it-IT"/>
              </w:rPr>
            </w:pPr>
            <w:r w:rsidRPr="00C755D4">
              <w:rPr>
                <w:rFonts w:ascii="Times New Roman" w:eastAsia="Times New Roman" w:hAnsi="Times New Roman" w:cs="Times New Roman"/>
                <w:color w:val="333333"/>
                <w:lang w:eastAsia="it-IT"/>
              </w:rPr>
              <w:t xml:space="preserve">USP DI MESSINA </w:t>
            </w:r>
          </w:p>
          <w:p w14:paraId="03A37715" w14:textId="730C89D1" w:rsidR="005E5D3A" w:rsidRPr="00965FE8" w:rsidRDefault="005E5D3A" w:rsidP="00B7233A">
            <w:pPr>
              <w:spacing w:after="390"/>
              <w:rPr>
                <w:rFonts w:ascii="Times New Roman" w:eastAsia="Times New Roman" w:hAnsi="Times New Roman" w:cs="Times New Roman"/>
                <w:color w:val="333333"/>
                <w:lang w:eastAsia="it-IT"/>
              </w:rPr>
            </w:pPr>
            <w:r>
              <w:rPr>
                <w:rFonts w:ascii="Times New Roman" w:eastAsia="Times New Roman" w:hAnsi="Times New Roman" w:cs="Times New Roman"/>
                <w:color w:val="333333"/>
                <w:lang w:eastAsia="it-IT"/>
              </w:rPr>
              <w:t>Con l’</w:t>
            </w:r>
            <w:proofErr w:type="spellStart"/>
            <w:r>
              <w:rPr>
                <w:rFonts w:ascii="Times New Roman" w:eastAsia="Times New Roman" w:hAnsi="Times New Roman" w:cs="Times New Roman"/>
                <w:color w:val="333333"/>
                <w:lang w:eastAsia="it-IT"/>
              </w:rPr>
              <w:t>ausi</w:t>
            </w:r>
            <w:r w:rsidR="00844A26">
              <w:rPr>
                <w:rFonts w:ascii="Times New Roman" w:eastAsia="Times New Roman" w:hAnsi="Times New Roman" w:cs="Times New Roman"/>
                <w:color w:val="333333"/>
                <w:lang w:eastAsia="it-IT"/>
              </w:rPr>
              <w:t>lio</w:t>
            </w:r>
            <w:r>
              <w:rPr>
                <w:rFonts w:ascii="Times New Roman" w:eastAsia="Times New Roman" w:hAnsi="Times New Roman" w:cs="Times New Roman"/>
                <w:color w:val="333333"/>
                <w:lang w:eastAsia="it-IT"/>
              </w:rPr>
              <w:t>o</w:t>
            </w:r>
            <w:proofErr w:type="spellEnd"/>
            <w:r>
              <w:rPr>
                <w:rFonts w:ascii="Times New Roman" w:eastAsia="Times New Roman" w:hAnsi="Times New Roman" w:cs="Times New Roman"/>
                <w:color w:val="333333"/>
                <w:lang w:eastAsia="it-IT"/>
              </w:rPr>
              <w:t xml:space="preserve"> </w:t>
            </w:r>
            <w:proofErr w:type="gramStart"/>
            <w:r>
              <w:rPr>
                <w:rFonts w:ascii="Times New Roman" w:eastAsia="Times New Roman" w:hAnsi="Times New Roman" w:cs="Times New Roman"/>
                <w:color w:val="333333"/>
                <w:lang w:eastAsia="it-IT"/>
              </w:rPr>
              <w:t>dell’ASP  e</w:t>
            </w:r>
            <w:proofErr w:type="gramEnd"/>
            <w:r>
              <w:rPr>
                <w:rFonts w:ascii="Times New Roman" w:eastAsia="Times New Roman" w:hAnsi="Times New Roman" w:cs="Times New Roman"/>
                <w:color w:val="333333"/>
                <w:lang w:eastAsia="it-IT"/>
              </w:rPr>
              <w:t xml:space="preserve"> delle forze dell’Ordine</w:t>
            </w:r>
          </w:p>
        </w:tc>
        <w:tc>
          <w:tcPr>
            <w:tcW w:w="4678" w:type="dxa"/>
          </w:tcPr>
          <w:p w14:paraId="311C2497" w14:textId="77777777" w:rsidR="005E5D3A" w:rsidRPr="00965FE8" w:rsidRDefault="005E5D3A" w:rsidP="00B7233A">
            <w:pPr>
              <w:spacing w:after="390"/>
              <w:rPr>
                <w:rFonts w:ascii="Times New Roman" w:eastAsia="Times New Roman" w:hAnsi="Times New Roman" w:cs="Times New Roman"/>
                <w:color w:val="333333"/>
                <w:lang w:eastAsia="it-IT"/>
              </w:rPr>
            </w:pPr>
            <w:r w:rsidRPr="00965FE8">
              <w:rPr>
                <w:rFonts w:ascii="Times New Roman" w:eastAsia="Times New Roman" w:hAnsi="Times New Roman" w:cs="Times New Roman"/>
                <w:color w:val="333333"/>
                <w:lang w:eastAsia="it-IT"/>
              </w:rPr>
              <w:t>Si impegna ad assumere iniziative formative all’interno delle scuole finalizzate alla prevenzione e all’informazione degli studenti e dei genitori</w:t>
            </w:r>
            <w:r>
              <w:rPr>
                <w:rFonts w:ascii="Times New Roman" w:eastAsia="Times New Roman" w:hAnsi="Times New Roman" w:cs="Times New Roman"/>
                <w:color w:val="333333"/>
                <w:lang w:eastAsia="it-IT"/>
              </w:rPr>
              <w:t xml:space="preserve"> </w:t>
            </w:r>
            <w:r w:rsidRPr="00965FE8">
              <w:rPr>
                <w:rFonts w:ascii="Times New Roman" w:eastAsia="Times New Roman" w:hAnsi="Times New Roman" w:cs="Times New Roman"/>
                <w:color w:val="333333"/>
                <w:lang w:eastAsia="it-IT"/>
              </w:rPr>
              <w:t>circa i rischi correlati alle dipendenze, gli strumenti di terapia e di protezione contemplati nella normativa e dal protocollo, i servizi presenti sul Territorio cui rivolgersi per segnalare singoli casi e specifiche problematiche</w:t>
            </w:r>
          </w:p>
        </w:tc>
        <w:tc>
          <w:tcPr>
            <w:tcW w:w="2582" w:type="dxa"/>
          </w:tcPr>
          <w:p w14:paraId="1FB48508" w14:textId="77777777" w:rsidR="005E5D3A" w:rsidRPr="00965FE8" w:rsidRDefault="005E5D3A" w:rsidP="00B7233A">
            <w:pPr>
              <w:spacing w:after="390"/>
              <w:rPr>
                <w:rFonts w:ascii="Times New Roman" w:eastAsia="Times New Roman" w:hAnsi="Times New Roman" w:cs="Times New Roman"/>
                <w:color w:val="333333"/>
                <w:lang w:eastAsia="it-IT"/>
              </w:rPr>
            </w:pPr>
          </w:p>
        </w:tc>
      </w:tr>
      <w:tr w:rsidR="005E5D3A" w:rsidRPr="00965FE8" w14:paraId="03C310DE" w14:textId="77777777" w:rsidTr="00B7233A">
        <w:tc>
          <w:tcPr>
            <w:tcW w:w="2518" w:type="dxa"/>
          </w:tcPr>
          <w:p w14:paraId="6744A4BC" w14:textId="77777777" w:rsidR="005E5D3A" w:rsidRPr="00965FE8" w:rsidRDefault="005E5D3A" w:rsidP="00B7233A">
            <w:pPr>
              <w:spacing w:after="390"/>
              <w:rPr>
                <w:rFonts w:ascii="Times New Roman" w:hAnsi="Times New Roman" w:cs="Times New Roman"/>
                <w:b/>
                <w:color w:val="333333"/>
              </w:rPr>
            </w:pPr>
            <w:r w:rsidRPr="00965FE8">
              <w:rPr>
                <w:rFonts w:ascii="Times New Roman" w:eastAsia="Times New Roman" w:hAnsi="Times New Roman" w:cs="Times New Roman"/>
                <w:color w:val="333333"/>
                <w:lang w:eastAsia="it-IT"/>
              </w:rPr>
              <w:lastRenderedPageBreak/>
              <w:t>Il Dirigente scolastico</w:t>
            </w:r>
          </w:p>
        </w:tc>
        <w:tc>
          <w:tcPr>
            <w:tcW w:w="4678" w:type="dxa"/>
          </w:tcPr>
          <w:p w14:paraId="4F70AAEB" w14:textId="7F18067E" w:rsidR="005E5D3A" w:rsidRPr="00965FE8" w:rsidRDefault="005E5D3A" w:rsidP="00B7233A">
            <w:pPr>
              <w:pStyle w:val="NormaleWeb"/>
              <w:shd w:val="clear" w:color="auto" w:fill="FFFFFF"/>
              <w:spacing w:before="0" w:beforeAutospacing="0" w:after="150" w:afterAutospacing="0"/>
              <w:textAlignment w:val="baseline"/>
              <w:rPr>
                <w:b/>
                <w:color w:val="333333"/>
                <w:sz w:val="22"/>
                <w:szCs w:val="22"/>
              </w:rPr>
            </w:pPr>
            <w:r w:rsidRPr="00965FE8">
              <w:rPr>
                <w:color w:val="333333"/>
                <w:sz w:val="22"/>
                <w:szCs w:val="22"/>
              </w:rPr>
              <w:t>Qualor</w:t>
            </w:r>
            <w:r>
              <w:rPr>
                <w:color w:val="333333"/>
                <w:sz w:val="22"/>
                <w:szCs w:val="22"/>
              </w:rPr>
              <w:t>a</w:t>
            </w:r>
            <w:r w:rsidRPr="00965FE8">
              <w:rPr>
                <w:color w:val="333333"/>
                <w:sz w:val="22"/>
                <w:szCs w:val="22"/>
              </w:rPr>
              <w:t xml:space="preserve"> il dirigente scol</w:t>
            </w:r>
            <w:r>
              <w:rPr>
                <w:color w:val="333333"/>
                <w:sz w:val="22"/>
                <w:szCs w:val="22"/>
              </w:rPr>
              <w:t>a</w:t>
            </w:r>
            <w:r w:rsidRPr="00965FE8">
              <w:rPr>
                <w:color w:val="333333"/>
                <w:sz w:val="22"/>
                <w:szCs w:val="22"/>
              </w:rPr>
              <w:t>stico nello svolgimento delle sue attività istituzionali, acquisi</w:t>
            </w:r>
            <w:r>
              <w:rPr>
                <w:color w:val="333333"/>
                <w:sz w:val="22"/>
                <w:szCs w:val="22"/>
              </w:rPr>
              <w:t>s</w:t>
            </w:r>
            <w:r w:rsidRPr="00965FE8">
              <w:rPr>
                <w:color w:val="333333"/>
                <w:sz w:val="22"/>
                <w:szCs w:val="22"/>
              </w:rPr>
              <w:t xml:space="preserve">ca notizie inerenti studenti minori versanti in condizioni di </w:t>
            </w:r>
            <w:proofErr w:type="gramStart"/>
            <w:r w:rsidRPr="00965FE8">
              <w:rPr>
                <w:color w:val="333333"/>
                <w:sz w:val="22"/>
                <w:szCs w:val="22"/>
              </w:rPr>
              <w:t>pregiudizio ,</w:t>
            </w:r>
            <w:proofErr w:type="gramEnd"/>
            <w:r w:rsidRPr="00965FE8">
              <w:rPr>
                <w:color w:val="333333"/>
                <w:sz w:val="22"/>
                <w:szCs w:val="22"/>
              </w:rPr>
              <w:t xml:space="preserve"> attuale o potenziale, ricollegabili a problemi di dipendenza patologica, effettuano alla Procura per i Minorenni una comunicazione, in via riservata, avente per oggetto le generalità del minore e dei genitori e la tipologia di dipendenza rilevata.</w:t>
            </w:r>
          </w:p>
        </w:tc>
        <w:tc>
          <w:tcPr>
            <w:tcW w:w="2582" w:type="dxa"/>
          </w:tcPr>
          <w:p w14:paraId="3059E56B" w14:textId="77777777" w:rsidR="005E5D3A" w:rsidRPr="00965FE8" w:rsidRDefault="005E5D3A" w:rsidP="00B7233A">
            <w:pPr>
              <w:spacing w:after="390"/>
              <w:rPr>
                <w:rFonts w:ascii="Times New Roman" w:eastAsia="Times New Roman" w:hAnsi="Times New Roman" w:cs="Times New Roman"/>
                <w:color w:val="333333"/>
                <w:lang w:eastAsia="it-IT"/>
              </w:rPr>
            </w:pPr>
          </w:p>
        </w:tc>
      </w:tr>
      <w:tr w:rsidR="005E5D3A" w:rsidRPr="00965FE8" w14:paraId="15688823" w14:textId="77777777" w:rsidTr="00B7233A">
        <w:tc>
          <w:tcPr>
            <w:tcW w:w="2518" w:type="dxa"/>
          </w:tcPr>
          <w:p w14:paraId="6D6AC3B3" w14:textId="77777777" w:rsidR="005E5D3A" w:rsidRPr="00965FE8" w:rsidRDefault="005E5D3A" w:rsidP="00B7233A">
            <w:pPr>
              <w:spacing w:after="390"/>
              <w:rPr>
                <w:rFonts w:ascii="Times New Roman" w:hAnsi="Times New Roman" w:cs="Times New Roman"/>
                <w:b/>
                <w:color w:val="333333"/>
              </w:rPr>
            </w:pPr>
            <w:r w:rsidRPr="00965FE8">
              <w:rPr>
                <w:rFonts w:ascii="Times New Roman" w:eastAsia="Times New Roman" w:hAnsi="Times New Roman" w:cs="Times New Roman"/>
                <w:color w:val="333333"/>
                <w:lang w:eastAsia="it-IT"/>
              </w:rPr>
              <w:t>Il Dirigente scolastico</w:t>
            </w:r>
          </w:p>
        </w:tc>
        <w:tc>
          <w:tcPr>
            <w:tcW w:w="4678" w:type="dxa"/>
          </w:tcPr>
          <w:p w14:paraId="33E2ACEE" w14:textId="77777777" w:rsidR="005E5D3A" w:rsidRPr="00965FE8" w:rsidRDefault="005E5D3A" w:rsidP="00B7233A">
            <w:pPr>
              <w:pStyle w:val="NormaleWeb"/>
              <w:shd w:val="clear" w:color="auto" w:fill="FFFFFF"/>
              <w:spacing w:before="0" w:beforeAutospacing="0" w:after="150" w:afterAutospacing="0"/>
              <w:textAlignment w:val="baseline"/>
              <w:rPr>
                <w:b/>
                <w:color w:val="333333"/>
                <w:sz w:val="22"/>
                <w:szCs w:val="22"/>
              </w:rPr>
            </w:pPr>
            <w:r w:rsidRPr="00965FE8">
              <w:rPr>
                <w:color w:val="333333"/>
                <w:sz w:val="22"/>
                <w:szCs w:val="22"/>
              </w:rPr>
              <w:t>La stessa segnalazione va inoltrata alla procura ordinaria territorialmente competente, per le sue determinazioni, ove siano profilabili fatti penalmente rilevanti a carico di soggetti maggiorenni ovvero di ignoti</w:t>
            </w:r>
          </w:p>
        </w:tc>
        <w:tc>
          <w:tcPr>
            <w:tcW w:w="2582" w:type="dxa"/>
          </w:tcPr>
          <w:p w14:paraId="1A10E687" w14:textId="77777777" w:rsidR="005E5D3A" w:rsidRPr="00965FE8" w:rsidRDefault="005E5D3A" w:rsidP="00B7233A">
            <w:pPr>
              <w:spacing w:after="390"/>
              <w:rPr>
                <w:rFonts w:ascii="Times New Roman" w:eastAsia="Times New Roman" w:hAnsi="Times New Roman" w:cs="Times New Roman"/>
                <w:color w:val="333333"/>
                <w:lang w:eastAsia="it-IT"/>
              </w:rPr>
            </w:pPr>
          </w:p>
        </w:tc>
      </w:tr>
    </w:tbl>
    <w:p w14:paraId="7B6524FE" w14:textId="77777777" w:rsidR="00976A82" w:rsidRDefault="00844A26"/>
    <w:sectPr w:rsidR="00976A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4D"/>
    <w:rsid w:val="003006A4"/>
    <w:rsid w:val="0048784D"/>
    <w:rsid w:val="005E5D3A"/>
    <w:rsid w:val="006D4A35"/>
    <w:rsid w:val="00844A26"/>
    <w:rsid w:val="00A502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089E"/>
  <w15:chartTrackingRefBased/>
  <w15:docId w15:val="{AAEFFBAB-33D9-499F-B256-EF9FC2ED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D3A"/>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5E5D3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E5D3A"/>
    <w:rPr>
      <w:b/>
      <w:bCs/>
    </w:rPr>
  </w:style>
  <w:style w:type="table" w:styleId="Grigliatabella">
    <w:name w:val="Table Grid"/>
    <w:basedOn w:val="Tabellanormale"/>
    <w:uiPriority w:val="59"/>
    <w:unhideWhenUsed/>
    <w:rsid w:val="005E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2121</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Agata</dc:creator>
  <cp:keywords/>
  <dc:description/>
  <cp:lastModifiedBy>Tringali Agata</cp:lastModifiedBy>
  <cp:revision>3</cp:revision>
  <dcterms:created xsi:type="dcterms:W3CDTF">2020-10-23T09:52:00Z</dcterms:created>
  <dcterms:modified xsi:type="dcterms:W3CDTF">2020-10-23T09:54:00Z</dcterms:modified>
</cp:coreProperties>
</file>